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DA" w:rsidRDefault="00C013DA" w:rsidP="00C013DA">
      <w:pPr>
        <w:autoSpaceDE w:val="0"/>
        <w:spacing w:line="200" w:lineRule="atLeast"/>
        <w:ind w:firstLine="850"/>
        <w:jc w:val="center"/>
        <w:rPr>
          <w:rFonts w:ascii="Tms Rmn" w:eastAsia="Tms Rmn" w:hAnsi="Tms Rmn" w:cs="Tms Rmn"/>
          <w:b/>
          <w:bCs/>
          <w:color w:val="000000"/>
          <w:sz w:val="28"/>
          <w:szCs w:val="28"/>
        </w:rPr>
      </w:pPr>
      <w:r>
        <w:rPr>
          <w:rFonts w:ascii="Tms Rmn" w:eastAsia="Tms Rmn" w:hAnsi="Tms Rmn" w:cs="Tms Rmn"/>
          <w:b/>
          <w:bCs/>
          <w:color w:val="000000"/>
          <w:sz w:val="28"/>
          <w:szCs w:val="28"/>
        </w:rPr>
        <w:t>Управление ПФР сообщает</w:t>
      </w:r>
    </w:p>
    <w:p w:rsidR="00C013DA" w:rsidRDefault="00C013DA" w:rsidP="00C013DA">
      <w:pPr>
        <w:autoSpaceDE w:val="0"/>
        <w:spacing w:line="200" w:lineRule="atLeast"/>
        <w:ind w:firstLine="850"/>
        <w:jc w:val="center"/>
        <w:rPr>
          <w:rFonts w:ascii="Tms Rmn" w:eastAsia="Tms Rmn" w:hAnsi="Tms Rmn" w:cs="Tms Rmn"/>
          <w:b/>
          <w:bCs/>
          <w:color w:val="000000"/>
          <w:sz w:val="28"/>
          <w:szCs w:val="28"/>
        </w:rPr>
      </w:pPr>
    </w:p>
    <w:p w:rsidR="00C013DA" w:rsidRDefault="00C013DA" w:rsidP="00C013DA">
      <w:pPr>
        <w:autoSpaceDE w:val="0"/>
        <w:spacing w:line="200" w:lineRule="atLeast"/>
        <w:ind w:firstLine="850"/>
        <w:jc w:val="center"/>
        <w:rPr>
          <w:rFonts w:ascii="Tms Rmn" w:eastAsia="Tms Rmn" w:hAnsi="Tms Rmn" w:cs="Tms Rmn"/>
          <w:b/>
          <w:bCs/>
          <w:color w:val="000000"/>
          <w:sz w:val="28"/>
          <w:szCs w:val="28"/>
        </w:rPr>
      </w:pPr>
      <w:r>
        <w:rPr>
          <w:rFonts w:ascii="Tms Rmn" w:eastAsia="Tms Rmn" w:hAnsi="Tms Rmn" w:cs="Tms Rmn"/>
          <w:b/>
          <w:bCs/>
          <w:color w:val="000000"/>
          <w:sz w:val="28"/>
          <w:szCs w:val="28"/>
        </w:rPr>
        <w:t>Дополнительное ежемесячное материальное обеспечение для узников фашистских концлагерей</w:t>
      </w:r>
    </w:p>
    <w:p w:rsidR="00C013DA" w:rsidRDefault="00C013DA" w:rsidP="00C013DA">
      <w:pPr>
        <w:autoSpaceDE w:val="0"/>
        <w:spacing w:line="200" w:lineRule="atLeast"/>
        <w:ind w:firstLine="850"/>
        <w:rPr>
          <w:rFonts w:ascii="Tms Rmn" w:eastAsia="Tms Rmn" w:hAnsi="Tms Rmn" w:cs="Tms Rmn"/>
          <w:b/>
          <w:bCs/>
          <w:color w:val="000000"/>
          <w:sz w:val="28"/>
          <w:szCs w:val="28"/>
        </w:rPr>
      </w:pP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11 апреля - Международный день освобождения узников фашистских концлагерей.</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Концлагеря не зря получили название лагерей смерти, с 1933 по 1945 год через них прошло более 20 миллионов человек из 30 стран мира, из них 12 миллионов погибли, при этом каждый пятый узник был ребенком. Для нашей страны это особая дата, так как около 5 миллионов погибших являлись гражданами СССР.</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В соответствии с Указом Президента РФ № 363 гражданам, из числа бывших несовершеннолетних и совершеннолетних узников концлагерей, гетто и других мест принудительного содержания, созданных фашистами и их союзниками в период</w:t>
      </w:r>
      <w:proofErr w:type="gramStart"/>
      <w:r>
        <w:rPr>
          <w:rFonts w:ascii="Tms Rmn" w:eastAsia="Tms Rmn" w:hAnsi="Tms Rmn" w:cs="Tms Rmn"/>
          <w:color w:val="000000"/>
        </w:rPr>
        <w:t xml:space="preserve"> В</w:t>
      </w:r>
      <w:proofErr w:type="gramEnd"/>
      <w:r>
        <w:rPr>
          <w:rFonts w:ascii="Tms Rmn" w:eastAsia="Tms Rmn" w:hAnsi="Tms Rmn" w:cs="Tms Rmn"/>
          <w:color w:val="000000"/>
        </w:rPr>
        <w:t>торой мировой войны выплачивается дополнительное ежемесячное материальное обеспечение (далее – ДЕМО). Данная выплата назначается по месту получения пенсии в размере 1000 рублей и 500 рублей в зависимости от категории получателя.</w:t>
      </w:r>
    </w:p>
    <w:p w:rsidR="00C013DA" w:rsidRDefault="00C013DA" w:rsidP="00C013DA">
      <w:pPr>
        <w:autoSpaceDE w:val="0"/>
        <w:spacing w:line="200" w:lineRule="atLeast"/>
        <w:ind w:firstLine="850"/>
        <w:jc w:val="both"/>
        <w:rPr>
          <w:rFonts w:ascii="Tms Rmn" w:eastAsia="Tms Rmn" w:hAnsi="Tms Rmn" w:cs="Tms Rmn"/>
          <w:i/>
          <w:iCs/>
          <w:color w:val="000000"/>
        </w:rPr>
      </w:pPr>
      <w:r>
        <w:rPr>
          <w:rFonts w:ascii="Tms Rmn" w:eastAsia="Tms Rmn" w:hAnsi="Tms Rmn" w:cs="Tms Rmn"/>
          <w:color w:val="000000"/>
        </w:rPr>
        <w:t>На сегодняшний день несовершеннолетних узников, являющихся получателями ДЕМО, 17 056 человек, из них 10 269 - жители Санкт-Петербурга и 6 787 - Ленинградской области, а совершеннолетних узников, получающих ДЕМО - всего 57 человек, из них 29 - проживает в Санкт-Петербурге, 28 - в Ленинградской области.</w:t>
      </w:r>
    </w:p>
    <w:p w:rsidR="00C013DA" w:rsidRDefault="00C013DA" w:rsidP="00C013DA">
      <w:pPr>
        <w:autoSpaceDE w:val="0"/>
        <w:spacing w:line="200" w:lineRule="atLeast"/>
        <w:ind w:firstLine="850"/>
        <w:jc w:val="both"/>
        <w:rPr>
          <w:rFonts w:ascii="Tms Rmn" w:eastAsia="Tms Rmn" w:hAnsi="Tms Rmn" w:cs="Tms Rmn"/>
          <w:i/>
          <w:iCs/>
          <w:color w:val="000000"/>
        </w:rPr>
      </w:pPr>
    </w:p>
    <w:p w:rsidR="00C013DA" w:rsidRDefault="00C013DA" w:rsidP="00C013DA">
      <w:pPr>
        <w:autoSpaceDE w:val="0"/>
        <w:spacing w:line="200" w:lineRule="atLeast"/>
        <w:ind w:firstLine="850"/>
        <w:jc w:val="center"/>
        <w:rPr>
          <w:rFonts w:ascii="Tms Rmn" w:eastAsia="Tms Rmn" w:hAnsi="Tms Rmn" w:cs="Tms Rmn"/>
          <w:b/>
          <w:bCs/>
          <w:color w:val="000000"/>
          <w:sz w:val="28"/>
          <w:szCs w:val="28"/>
        </w:rPr>
      </w:pPr>
      <w:r>
        <w:rPr>
          <w:rFonts w:ascii="Tms Rmn" w:eastAsia="Tms Rmn" w:hAnsi="Tms Rmn" w:cs="Tms Rmn"/>
          <w:b/>
          <w:bCs/>
          <w:color w:val="000000"/>
          <w:sz w:val="28"/>
          <w:szCs w:val="28"/>
        </w:rPr>
        <w:t>Управление пенсионными накоплениями: будьте внимательны при смене страховщика</w:t>
      </w:r>
    </w:p>
    <w:p w:rsidR="00C013DA" w:rsidRDefault="00C013DA" w:rsidP="00C013DA">
      <w:pPr>
        <w:autoSpaceDE w:val="0"/>
        <w:spacing w:line="200" w:lineRule="atLeast"/>
        <w:ind w:firstLine="850"/>
        <w:jc w:val="center"/>
        <w:rPr>
          <w:rFonts w:ascii="Tms Rmn" w:eastAsia="Tms Rmn" w:hAnsi="Tms Rmn" w:cs="Tms Rmn"/>
          <w:b/>
          <w:bCs/>
          <w:color w:val="000000"/>
          <w:sz w:val="28"/>
          <w:szCs w:val="28"/>
        </w:rPr>
      </w:pP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В последнее время в банках, страховых компаниях и других местах назойливо предлагают гражданам перевести свои пенсионные накопления в негосударственные пенсионные фонды, порой гражданину не дают развернутого ответа, почему он должен это сделать.</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Как правило, в арсенале таких «доброжелателей» один аргумент – у нас вы не только сбережете, но и приумножите свои накопления, а если вы не переведете в НПФ свои накопления, то государство их направит на выплату пенсионерам.</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 xml:space="preserve">Действительно ли можно остаться без пенсионных накоплений и надо ли переводить деньги из государственного пенсионного фонда в </w:t>
      </w:r>
      <w:proofErr w:type="gramStart"/>
      <w:r>
        <w:rPr>
          <w:rFonts w:ascii="Tms Rmn" w:eastAsia="Tms Rmn" w:hAnsi="Tms Rmn" w:cs="Tms Rmn"/>
          <w:color w:val="000000"/>
        </w:rPr>
        <w:t>частный</w:t>
      </w:r>
      <w:proofErr w:type="gramEnd"/>
      <w:r>
        <w:rPr>
          <w:rFonts w:ascii="Tms Rmn" w:eastAsia="Tms Rmn" w:hAnsi="Tms Rmn" w:cs="Tms Rmn"/>
          <w:color w:val="000000"/>
        </w:rPr>
        <w:t>?</w:t>
      </w:r>
    </w:p>
    <w:p w:rsidR="00C013DA" w:rsidRDefault="00C013DA" w:rsidP="00C013DA">
      <w:pPr>
        <w:autoSpaceDE w:val="0"/>
        <w:spacing w:line="200" w:lineRule="atLeast"/>
        <w:ind w:firstLine="850"/>
        <w:jc w:val="both"/>
        <w:rPr>
          <w:rFonts w:ascii="Tms Rmn" w:eastAsia="Tms Rmn" w:hAnsi="Tms Rmn" w:cs="Tms Rmn"/>
          <w:b/>
          <w:bCs/>
          <w:i/>
          <w:iCs/>
          <w:color w:val="000000"/>
        </w:rPr>
      </w:pPr>
      <w:r>
        <w:rPr>
          <w:rFonts w:ascii="Tms Rmn" w:eastAsia="Tms Rmn" w:hAnsi="Tms Rmn" w:cs="Tms Rmn"/>
          <w:color w:val="000000"/>
        </w:rPr>
        <w:t>Ваши пенсионные накопления не могут быть изъяты государством и отправлены на выплату пенсий нынешним пенсионерам. Никаких требований к переводу пенсионных накоплений в НПФ не существует. Пенсионные накопления инвестируются и будут Вам выплачиваться после выхода на пенсию вне зависимости от того, где они формируются (это может быть как ПФР, так и негосударственный пенсионный фонд).</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b/>
          <w:bCs/>
          <w:i/>
          <w:iCs/>
          <w:color w:val="000000"/>
        </w:rPr>
        <w:t>Переводить ваши накопления в негосударственный пенсионный фонд или нет – Ваше право! Только Вы сами должны решить, кому в части будущей пенсии вы больше доверяете – государству или частным компаниям.</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Если Вы приняли решение о переводе пенсионных накоплений в НПФ, отнеситесь к смене фонда максимально ответственно. Выбор нужно делать осознанно, внимательно читать условия договора и не подписывать документы, содержание которых вам непонятно, в том числе договоры при «приеме на работу», оформлении кредита, покупке мобильного телефона и т.п.</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Кроме того, необходимо помнить – если Вы меняете пенсионный фонд чаще, чем раз в пять лет, Ваши деньги переводятся в него без учета инвестиционного дохода. Вам это невыгодно.</w:t>
      </w:r>
    </w:p>
    <w:p w:rsidR="00C013DA" w:rsidRDefault="00C013DA" w:rsidP="00C013DA">
      <w:pPr>
        <w:autoSpaceDE w:val="0"/>
        <w:spacing w:line="200" w:lineRule="atLeast"/>
        <w:ind w:firstLine="850"/>
        <w:rPr>
          <w:rFonts w:ascii="Tms Rmn" w:eastAsia="Tms Rmn" w:hAnsi="Tms Rmn" w:cs="Tms Rmn"/>
          <w:color w:val="000000"/>
        </w:rPr>
      </w:pPr>
    </w:p>
    <w:p w:rsidR="00C013DA" w:rsidRDefault="00C013DA" w:rsidP="00C013DA">
      <w:pPr>
        <w:autoSpaceDE w:val="0"/>
        <w:spacing w:line="200" w:lineRule="atLeast"/>
        <w:ind w:firstLine="850"/>
        <w:rPr>
          <w:rFonts w:ascii="Tms Rmn" w:eastAsia="Tms Rmn" w:hAnsi="Tms Rmn" w:cs="Tms Rmn"/>
          <w:color w:val="000000"/>
        </w:rPr>
      </w:pPr>
    </w:p>
    <w:p w:rsidR="00C013DA" w:rsidRDefault="00C013DA" w:rsidP="00C013DA">
      <w:pPr>
        <w:autoSpaceDE w:val="0"/>
        <w:spacing w:line="200" w:lineRule="atLeast"/>
        <w:ind w:firstLine="850"/>
        <w:jc w:val="center"/>
        <w:rPr>
          <w:rFonts w:ascii="Tms Rmn" w:eastAsia="Tms Rmn" w:hAnsi="Tms Rmn" w:cs="Tms Rmn"/>
          <w:b/>
          <w:bCs/>
          <w:color w:val="000000"/>
          <w:sz w:val="28"/>
          <w:szCs w:val="28"/>
        </w:rPr>
      </w:pPr>
      <w:r>
        <w:rPr>
          <w:rFonts w:ascii="Tms Rmn" w:eastAsia="Tms Rmn" w:hAnsi="Tms Rmn" w:cs="Tms Rmn"/>
          <w:b/>
          <w:bCs/>
          <w:color w:val="000000"/>
          <w:sz w:val="28"/>
          <w:szCs w:val="28"/>
        </w:rPr>
        <w:lastRenderedPageBreak/>
        <w:t>Мобильное приложение ПФР - теперь и в вашем телефоне</w:t>
      </w:r>
    </w:p>
    <w:p w:rsidR="00C013DA" w:rsidRDefault="00C013DA" w:rsidP="00C013DA">
      <w:pPr>
        <w:autoSpaceDE w:val="0"/>
        <w:spacing w:line="200" w:lineRule="atLeast"/>
        <w:ind w:firstLine="850"/>
        <w:rPr>
          <w:rFonts w:ascii="Tms Rmn" w:eastAsia="Tms Rmn" w:hAnsi="Tms Rmn" w:cs="Tms Rmn"/>
          <w:b/>
          <w:bCs/>
          <w:color w:val="000000"/>
          <w:sz w:val="28"/>
          <w:szCs w:val="28"/>
        </w:rPr>
      </w:pP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На сегодняшний день существует огромное количество разнообразных приложений, загружаемых в мобильный телефон, все они призваны облегчить повседневную жизнь современного человека. Пенсионный фонд не стал исключением и выпустил свое мобильное приложение.</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Для того, чтобы доказать необходимость и эффективность этого вида технического новшества, достаточно перечислить всего лишь несколько причин.</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Во-первых, это удобно, вы знакомитесь с информацией в любом удобном для вас месте, необходим лишь доступ в интернет.</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Во-вторых, мобильное приложение загружается значительно быстрее полной версии сайта, а это значит, что вы не тратите время и получаете всю актуальную информацию быстро.</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 xml:space="preserve">Кроме того, вы получаете возможность пользоваться ключевыми функциями Личного кабинета гражданина, представленного на </w:t>
      </w:r>
      <w:proofErr w:type="gramStart"/>
      <w:r>
        <w:rPr>
          <w:rFonts w:ascii="Tms Rmn" w:eastAsia="Tms Rmn" w:hAnsi="Tms Rmn" w:cs="Tms Rmn"/>
          <w:color w:val="000000"/>
        </w:rPr>
        <w:t>официальном</w:t>
      </w:r>
      <w:proofErr w:type="gramEnd"/>
      <w:r>
        <w:rPr>
          <w:rFonts w:ascii="Tms Rmn" w:eastAsia="Tms Rmn" w:hAnsi="Tms Rmn" w:cs="Tms Rmn"/>
          <w:color w:val="000000"/>
        </w:rPr>
        <w:t xml:space="preserve"> на сайте Пенсионного фонда, а это значит, что вы всегда будете в курсе состояния своего индивидуального лицевого счета, перечисленных работодателем страховых взносов, накопленных пенсионных баллов, назначенной пенсии или социальной выплаты, а также размере материнского капитала и истории своих обращений в Пенсионный фонд.</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 xml:space="preserve">Скачать бесплатную новинку от ПФР можно из пресс-релиза </w:t>
      </w:r>
      <w:hyperlink r:id="rId4" w:history="1">
        <w:r>
          <w:rPr>
            <w:rStyle w:val="a3"/>
            <w:rFonts w:ascii="Tms Rmn" w:hAnsi="Tms Rmn"/>
          </w:rPr>
          <w:t>www.pfrf.ru/press_center/~2017/03/30/132984</w:t>
        </w:r>
      </w:hyperlink>
      <w:r>
        <w:rPr>
          <w:rFonts w:ascii="Tms Rmn" w:eastAsia="Tms Rmn" w:hAnsi="Tms Rmn" w:cs="Tms Rmn"/>
          <w:i/>
          <w:iCs/>
          <w:color w:val="000000"/>
        </w:rPr>
        <w:t xml:space="preserve">, </w:t>
      </w:r>
      <w:r>
        <w:rPr>
          <w:rFonts w:ascii="Tms Rmn" w:eastAsia="Tms Rmn" w:hAnsi="Tms Rmn" w:cs="Tms Rmn"/>
          <w:color w:val="000000"/>
        </w:rPr>
        <w:t>нажав на имеющуюся у вас платформу (</w:t>
      </w:r>
      <w:proofErr w:type="spellStart"/>
      <w:r>
        <w:rPr>
          <w:rFonts w:ascii="Tms Rmn" w:eastAsia="Tms Rmn" w:hAnsi="Tms Rmn" w:cs="Tms Rmn"/>
          <w:color w:val="000000"/>
        </w:rPr>
        <w:t>iOS</w:t>
      </w:r>
      <w:proofErr w:type="spellEnd"/>
      <w:r>
        <w:rPr>
          <w:rFonts w:ascii="Tms Rmn" w:eastAsia="Tms Rmn" w:hAnsi="Tms Rmn" w:cs="Tms Rmn"/>
          <w:color w:val="000000"/>
        </w:rPr>
        <w:t xml:space="preserve"> или </w:t>
      </w:r>
      <w:proofErr w:type="spellStart"/>
      <w:r>
        <w:rPr>
          <w:rFonts w:ascii="Tms Rmn" w:eastAsia="Tms Rmn" w:hAnsi="Tms Rmn" w:cs="Tms Rmn"/>
          <w:color w:val="000000"/>
        </w:rPr>
        <w:t>Android</w:t>
      </w:r>
      <w:proofErr w:type="spellEnd"/>
      <w:r>
        <w:rPr>
          <w:rFonts w:ascii="Tms Rmn" w:eastAsia="Tms Rmn" w:hAnsi="Tms Rmn" w:cs="Tms Rmn"/>
          <w:color w:val="000000"/>
        </w:rPr>
        <w:t>).</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 xml:space="preserve">Для входа в приложение необходимо ввести </w:t>
      </w:r>
      <w:proofErr w:type="gramStart"/>
      <w:r>
        <w:rPr>
          <w:rFonts w:ascii="Tms Rmn" w:eastAsia="Tms Rmn" w:hAnsi="Tms Rmn" w:cs="Tms Rmn"/>
          <w:color w:val="000000"/>
        </w:rPr>
        <w:t>четырехзначный</w:t>
      </w:r>
      <w:proofErr w:type="gramEnd"/>
      <w:r>
        <w:rPr>
          <w:rFonts w:ascii="Tms Rmn" w:eastAsia="Tms Rmn" w:hAnsi="Tms Rmn" w:cs="Tms Rmn"/>
          <w:color w:val="000000"/>
        </w:rPr>
        <w:t xml:space="preserve"> </w:t>
      </w:r>
      <w:proofErr w:type="spellStart"/>
      <w:r>
        <w:rPr>
          <w:rFonts w:ascii="Tms Rmn" w:eastAsia="Tms Rmn" w:hAnsi="Tms Rmn" w:cs="Tms Rmn"/>
          <w:color w:val="000000"/>
        </w:rPr>
        <w:t>пин-код</w:t>
      </w:r>
      <w:proofErr w:type="spellEnd"/>
      <w:r>
        <w:rPr>
          <w:rFonts w:ascii="Tms Rmn" w:eastAsia="Tms Rmn" w:hAnsi="Tms Rmn" w:cs="Tms Rmn"/>
          <w:color w:val="000000"/>
        </w:rPr>
        <w:t xml:space="preserve"> и пройти авторизацию с помощью подтвержденной учетной записи на портале </w:t>
      </w:r>
      <w:proofErr w:type="spellStart"/>
      <w:r>
        <w:rPr>
          <w:rFonts w:ascii="Tms Rmn" w:eastAsia="Tms Rmn" w:hAnsi="Tms Rmn" w:cs="Tms Rmn"/>
          <w:color w:val="000000"/>
        </w:rPr>
        <w:t>госуслуг</w:t>
      </w:r>
      <w:proofErr w:type="spellEnd"/>
      <w:r>
        <w:rPr>
          <w:rFonts w:ascii="Tms Rmn" w:eastAsia="Tms Rmn" w:hAnsi="Tms Rmn" w:cs="Tms Rmn"/>
          <w:color w:val="000000"/>
        </w:rPr>
        <w:t>.</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 xml:space="preserve">Если Вы еще не зарегистрированы на портале </w:t>
      </w:r>
      <w:proofErr w:type="spellStart"/>
      <w:r>
        <w:rPr>
          <w:rFonts w:ascii="Tms Rmn" w:eastAsia="Tms Rmn" w:hAnsi="Tms Rmn" w:cs="Tms Rmn"/>
          <w:color w:val="000000"/>
        </w:rPr>
        <w:t>госуслуг</w:t>
      </w:r>
      <w:proofErr w:type="spellEnd"/>
      <w:r>
        <w:rPr>
          <w:rFonts w:ascii="Tms Rmn" w:eastAsia="Tms Rmn" w:hAnsi="Tms Rmn" w:cs="Tms Rmn"/>
          <w:color w:val="000000"/>
        </w:rPr>
        <w:t>, то это можно сделать со страницы Пенсионного фонда РФ</w:t>
      </w:r>
      <w:r>
        <w:rPr>
          <w:rFonts w:ascii="Tms Rmn" w:eastAsia="Tms Rmn" w:hAnsi="Tms Rmn" w:cs="Tms Rmn"/>
          <w:b/>
          <w:bCs/>
          <w:i/>
          <w:iCs/>
          <w:color w:val="000000"/>
        </w:rPr>
        <w:t xml:space="preserve"> </w:t>
      </w:r>
      <w:proofErr w:type="spellStart"/>
      <w:r>
        <w:rPr>
          <w:rFonts w:ascii="Tms Rmn" w:eastAsia="Tms Rmn" w:hAnsi="Tms Rmn" w:cs="Tms Rmn"/>
          <w:b/>
          <w:bCs/>
          <w:i/>
          <w:iCs/>
          <w:color w:val="000000"/>
        </w:rPr>
        <w:t>es.pfrf.ru</w:t>
      </w:r>
      <w:proofErr w:type="spellEnd"/>
      <w:r>
        <w:rPr>
          <w:rFonts w:ascii="Tms Rmn" w:eastAsia="Tms Rmn" w:hAnsi="Tms Rmn" w:cs="Tms Rmn"/>
          <w:color w:val="000000"/>
        </w:rPr>
        <w:t>, выбрав строку «Регистрация». Подтвердить учетную запись можно в Управлении ПФР, МФЦ или в другом центре обслуживания.</w:t>
      </w:r>
    </w:p>
    <w:p w:rsidR="00C013DA" w:rsidRDefault="00C013DA" w:rsidP="00C013DA">
      <w:pPr>
        <w:autoSpaceDE w:val="0"/>
        <w:spacing w:line="200" w:lineRule="atLeast"/>
        <w:ind w:firstLine="850"/>
        <w:jc w:val="both"/>
        <w:rPr>
          <w:rFonts w:ascii="Tms Rmn" w:eastAsia="Tms Rmn" w:hAnsi="Tms Rmn" w:cs="Tms Rmn"/>
          <w:color w:val="000000"/>
        </w:rPr>
      </w:pPr>
      <w:r>
        <w:rPr>
          <w:rFonts w:ascii="Tms Rmn" w:eastAsia="Tms Rmn" w:hAnsi="Tms Rmn" w:cs="Tms Rmn"/>
          <w:color w:val="000000"/>
        </w:rPr>
        <w:t xml:space="preserve">Воспользоваться некоторыми услугами, доступными через приложение можно и без регистрации на портале </w:t>
      </w:r>
      <w:proofErr w:type="spellStart"/>
      <w:r>
        <w:rPr>
          <w:rFonts w:ascii="Tms Rmn" w:eastAsia="Tms Rmn" w:hAnsi="Tms Rmn" w:cs="Tms Rmn"/>
          <w:color w:val="000000"/>
        </w:rPr>
        <w:t>госуслуг</w:t>
      </w:r>
      <w:proofErr w:type="spellEnd"/>
      <w:r>
        <w:rPr>
          <w:rFonts w:ascii="Tms Rmn" w:eastAsia="Tms Rmn" w:hAnsi="Tms Rmn" w:cs="Tms Rmn"/>
          <w:color w:val="000000"/>
        </w:rPr>
        <w:t xml:space="preserve">. Так, с использованием службы </w:t>
      </w:r>
      <w:proofErr w:type="spellStart"/>
      <w:r>
        <w:rPr>
          <w:rFonts w:ascii="Tms Rmn" w:eastAsia="Tms Rmn" w:hAnsi="Tms Rmn" w:cs="Tms Rmn"/>
          <w:color w:val="000000"/>
        </w:rPr>
        <w:t>геолокации</w:t>
      </w:r>
      <w:proofErr w:type="spellEnd"/>
      <w:r>
        <w:rPr>
          <w:rFonts w:ascii="Tms Rmn" w:eastAsia="Tms Rmn" w:hAnsi="Tms Rmn" w:cs="Tms Rmn"/>
          <w:color w:val="000000"/>
        </w:rPr>
        <w:t xml:space="preserve"> приложение найдет ближайшую клиентскую службу Пенсионного фонда или МФЦ и предоставит возможность записаться на прием. Помимо этого через приложение можно заказать необходимые справки и документы, а также направить обращение в ПФР.</w:t>
      </w:r>
    </w:p>
    <w:p w:rsidR="00C013DA" w:rsidRDefault="00C013DA" w:rsidP="00C013DA">
      <w:pPr>
        <w:autoSpaceDE w:val="0"/>
        <w:spacing w:line="200" w:lineRule="atLeast"/>
        <w:ind w:firstLine="850"/>
        <w:jc w:val="both"/>
        <w:rPr>
          <w:rFonts w:ascii="Tms Rmn" w:eastAsia="Tms Rmn" w:hAnsi="Tms Rmn" w:cs="Tms Rmn"/>
          <w:color w:val="000000"/>
        </w:rPr>
      </w:pPr>
    </w:p>
    <w:p w:rsidR="00C013DA" w:rsidRDefault="00C013DA" w:rsidP="00C013DA">
      <w:pPr>
        <w:autoSpaceDE w:val="0"/>
        <w:spacing w:line="200" w:lineRule="atLeast"/>
        <w:ind w:firstLine="850"/>
        <w:jc w:val="both"/>
        <w:rPr>
          <w:rFonts w:ascii="Tms Rmn" w:eastAsia="Tms Rmn" w:hAnsi="Tms Rmn" w:cs="Tms Rmn"/>
          <w:color w:val="000000"/>
        </w:rPr>
      </w:pPr>
    </w:p>
    <w:p w:rsidR="00C013DA" w:rsidRDefault="00C013DA" w:rsidP="00C013DA">
      <w:pPr>
        <w:autoSpaceDE w:val="0"/>
        <w:spacing w:line="200" w:lineRule="atLeast"/>
        <w:ind w:firstLine="850"/>
        <w:jc w:val="both"/>
        <w:rPr>
          <w:rFonts w:ascii="Tms Rmn" w:eastAsia="Tms Rmn" w:hAnsi="Tms Rmn" w:cs="Tms Rmn"/>
          <w:color w:val="000000"/>
        </w:rPr>
      </w:pPr>
    </w:p>
    <w:p w:rsidR="00C013DA" w:rsidRDefault="00C013DA" w:rsidP="00C013DA">
      <w:pPr>
        <w:autoSpaceDE w:val="0"/>
        <w:spacing w:line="200" w:lineRule="atLeast"/>
        <w:ind w:firstLine="850"/>
        <w:jc w:val="both"/>
        <w:rPr>
          <w:rFonts w:ascii="Tms Rmn" w:eastAsia="Tms Rmn" w:hAnsi="Tms Rmn" w:cs="Tms Rmn"/>
          <w:color w:val="000000"/>
        </w:rPr>
      </w:pPr>
    </w:p>
    <w:p w:rsidR="00C013DA" w:rsidRDefault="00C013DA" w:rsidP="00C013DA">
      <w:pPr>
        <w:autoSpaceDE w:val="0"/>
        <w:spacing w:line="200" w:lineRule="atLeast"/>
        <w:jc w:val="both"/>
        <w:rPr>
          <w:rFonts w:ascii="Tms Rmn" w:eastAsia="Tms Rmn" w:hAnsi="Tms Rmn" w:cs="Tms Rmn"/>
          <w:color w:val="000000"/>
        </w:rPr>
      </w:pPr>
      <w:r>
        <w:rPr>
          <w:rFonts w:ascii="Tms Rmn" w:eastAsia="Tms Rmn" w:hAnsi="Tms Rmn" w:cs="Tms Rmn"/>
          <w:color w:val="000000"/>
        </w:rPr>
        <w:t>Заместитель начальника Управления                                                                          И.А. Иванова</w:t>
      </w:r>
    </w:p>
    <w:p w:rsidR="00C013DA" w:rsidRDefault="00C013DA" w:rsidP="00C013DA">
      <w:pPr>
        <w:autoSpaceDE w:val="0"/>
        <w:spacing w:line="200" w:lineRule="atLeast"/>
        <w:ind w:firstLine="850"/>
        <w:rPr>
          <w:rFonts w:ascii="Tms Rmn" w:eastAsia="Tms Rmn" w:hAnsi="Tms Rmn" w:cs="Tms Rmn"/>
          <w:color w:val="000000"/>
        </w:rPr>
      </w:pPr>
    </w:p>
    <w:p w:rsidR="00C013DA" w:rsidRDefault="00C013DA" w:rsidP="00C013DA">
      <w:pPr>
        <w:spacing w:line="200" w:lineRule="atLeast"/>
        <w:ind w:firstLine="850"/>
      </w:pPr>
    </w:p>
    <w:p w:rsidR="00374039" w:rsidRDefault="00374039"/>
    <w:sectPr w:rsidR="00374039">
      <w:pgSz w:w="11906" w:h="16838"/>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13DA"/>
    <w:rsid w:val="00374039"/>
    <w:rsid w:val="00C01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3DA"/>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013DA"/>
    <w:rPr>
      <w:color w:val="000080"/>
      <w:u w:val="single"/>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frf.ru/press_center/~2017/03/30/1329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4541</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2017-04-13T06:34:00Z</dcterms:created>
  <dcterms:modified xsi:type="dcterms:W3CDTF">2017-04-13T06:34:00Z</dcterms:modified>
</cp:coreProperties>
</file>